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65A" w:rsidRDefault="0047165A" w:rsidP="0047165A">
      <w:pPr>
        <w:pStyle w:val="1"/>
        <w:shd w:val="clear" w:color="auto" w:fill="FFFFFF"/>
        <w:rPr>
          <w:color w:val="333333"/>
        </w:rPr>
      </w:pPr>
      <w:r>
        <w:rPr>
          <w:color w:val="333333"/>
        </w:rPr>
        <w:t>Тема 6 Теория производства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color w:val="333333"/>
          <w:sz w:val="13"/>
          <w:szCs w:val="13"/>
        </w:rPr>
        <w:t>Теория производства является фундаментальной в курсе микроэкономики. Понятие "производство" рассматривается в ней как деятельность, направленная на выпуск товаров (услуг), за которые потребитель готов заплатить. Понятие "производство" в экономике тесно связано с понятием "производительность". Это значит, что главное в производстве — не просто выпуск товаров, а произведенное их количество за определенное время на каждую единицу потребленных ресурсов. Таким образом, производительность — это показатель эффективности производства.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color w:val="333333"/>
          <w:sz w:val="13"/>
          <w:szCs w:val="13"/>
        </w:rPr>
        <w:t>В теории производства рассматриваются только эффективные способы производства.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color w:val="333333"/>
          <w:sz w:val="13"/>
          <w:szCs w:val="13"/>
        </w:rPr>
        <w:t>Анализ теории производства в экономике аналогичен анализу теории потребительского поведения. Отличие лишь в том, что ее основные элементы имеют объективную природу и могут быть измерены (например, затраты, выпуск продукции, доходы и т. д.).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color w:val="333333"/>
          <w:sz w:val="13"/>
          <w:szCs w:val="13"/>
        </w:rPr>
        <w:t>Зависимость между затратами ресурсов и максимально возможным выпуском продукции в теории производства выражается с помощью производственной функции. Традиционно используется двух факторная производственная функция вида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noProof/>
          <w:color w:val="333333"/>
          <w:sz w:val="13"/>
          <w:szCs w:val="13"/>
        </w:rPr>
        <w:drawing>
          <wp:inline distT="0" distB="0" distL="0" distR="0">
            <wp:extent cx="711835" cy="173355"/>
            <wp:effectExtent l="19050" t="0" r="0" b="0"/>
            <wp:docPr id="23" name="Рисунок 1" descr="http://www.market-journal.com/images/mikrojekonomika/image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market-journal.com/images/mikrojekonomika/image05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835" cy="173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color w:val="333333"/>
          <w:sz w:val="13"/>
          <w:szCs w:val="13"/>
        </w:rPr>
        <w:t xml:space="preserve">где &lt;2 — возможный объем выпуска; L — количество применяемого труда (ресурс L); К— ко </w:t>
      </w:r>
      <w:proofErr w:type="spellStart"/>
      <w:r>
        <w:rPr>
          <w:rFonts w:ascii="Verdana" w:hAnsi="Verdana"/>
          <w:color w:val="333333"/>
          <w:sz w:val="13"/>
          <w:szCs w:val="13"/>
        </w:rPr>
        <w:t>личество</w:t>
      </w:r>
      <w:proofErr w:type="spellEnd"/>
      <w:r>
        <w:rPr>
          <w:rFonts w:ascii="Verdana" w:hAnsi="Verdana"/>
          <w:color w:val="333333"/>
          <w:sz w:val="13"/>
          <w:szCs w:val="13"/>
        </w:rPr>
        <w:t xml:space="preserve"> применяемого капитала (ресурс К).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color w:val="333333"/>
          <w:sz w:val="13"/>
          <w:szCs w:val="13"/>
        </w:rPr>
        <w:t>Это уравнение применимо только к определенному уровню технологии.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color w:val="333333"/>
          <w:sz w:val="13"/>
          <w:szCs w:val="13"/>
        </w:rPr>
        <w:t>Для построения производственной функции важное значение имеет термин "максимальный выпуск продукции", так как отвергаются нерентабельные (неэффективные) производственные процессы.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color w:val="333333"/>
          <w:sz w:val="13"/>
          <w:szCs w:val="13"/>
        </w:rPr>
        <w:t>Максимальный выпуск продукции — экономически эффективная деятельность, при которой производственные факторы используются с максимальной отдачей.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color w:val="333333"/>
          <w:sz w:val="13"/>
          <w:szCs w:val="13"/>
        </w:rPr>
        <w:t xml:space="preserve">Производственная функция изображается графически с помощью </w:t>
      </w:r>
      <w:proofErr w:type="spellStart"/>
      <w:r>
        <w:rPr>
          <w:rFonts w:ascii="Verdana" w:hAnsi="Verdana"/>
          <w:color w:val="333333"/>
          <w:sz w:val="13"/>
          <w:szCs w:val="13"/>
        </w:rPr>
        <w:t>изоквант</w:t>
      </w:r>
      <w:proofErr w:type="spellEnd"/>
      <w:r>
        <w:rPr>
          <w:rFonts w:ascii="Verdana" w:hAnsi="Verdana"/>
          <w:color w:val="333333"/>
          <w:sz w:val="13"/>
          <w:szCs w:val="13"/>
        </w:rPr>
        <w:t xml:space="preserve"> .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proofErr w:type="spellStart"/>
      <w:r>
        <w:rPr>
          <w:rFonts w:ascii="Verdana" w:hAnsi="Verdana"/>
          <w:color w:val="333333"/>
          <w:sz w:val="13"/>
          <w:szCs w:val="13"/>
        </w:rPr>
        <w:t>Изокванта</w:t>
      </w:r>
      <w:proofErr w:type="spellEnd"/>
      <w:r>
        <w:rPr>
          <w:rFonts w:ascii="Verdana" w:hAnsi="Verdana"/>
          <w:color w:val="333333"/>
          <w:sz w:val="13"/>
          <w:szCs w:val="13"/>
        </w:rPr>
        <w:t xml:space="preserve"> — линия, характеризующая разные затраты производства, при которых производится одинаковый объем продукции.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proofErr w:type="spellStart"/>
      <w:r>
        <w:rPr>
          <w:rFonts w:ascii="Verdana" w:hAnsi="Verdana"/>
          <w:color w:val="333333"/>
          <w:sz w:val="13"/>
          <w:szCs w:val="13"/>
        </w:rPr>
        <w:t>Изокванты</w:t>
      </w:r>
      <w:proofErr w:type="spellEnd"/>
      <w:r>
        <w:rPr>
          <w:rFonts w:ascii="Verdana" w:hAnsi="Verdana"/>
          <w:color w:val="333333"/>
          <w:sz w:val="13"/>
          <w:szCs w:val="13"/>
        </w:rPr>
        <w:t xml:space="preserve"> в теории производства аналогичны кривым безразличия в теории потребительского поведения. Метод </w:t>
      </w:r>
      <w:proofErr w:type="spellStart"/>
      <w:r>
        <w:rPr>
          <w:rFonts w:ascii="Verdana" w:hAnsi="Verdana"/>
          <w:color w:val="333333"/>
          <w:sz w:val="13"/>
          <w:szCs w:val="13"/>
        </w:rPr>
        <w:t>изоквант</w:t>
      </w:r>
      <w:proofErr w:type="spellEnd"/>
      <w:r>
        <w:rPr>
          <w:rFonts w:ascii="Verdana" w:hAnsi="Verdana"/>
          <w:color w:val="333333"/>
          <w:sz w:val="13"/>
          <w:szCs w:val="13"/>
        </w:rPr>
        <w:t xml:space="preserve"> позволяет сопоставить все возможные варианты сочетания факторов производства (капитала и труда) и выбрать оптимальный, отвечающий возможностям фирмы в данный момент.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color w:val="333333"/>
          <w:sz w:val="13"/>
          <w:szCs w:val="13"/>
        </w:rPr>
        <w:t xml:space="preserve">Набор </w:t>
      </w:r>
      <w:proofErr w:type="spellStart"/>
      <w:r>
        <w:rPr>
          <w:rFonts w:ascii="Verdana" w:hAnsi="Verdana"/>
          <w:color w:val="333333"/>
          <w:sz w:val="13"/>
          <w:szCs w:val="13"/>
        </w:rPr>
        <w:t>изоквант</w:t>
      </w:r>
      <w:proofErr w:type="spellEnd"/>
      <w:r>
        <w:rPr>
          <w:rFonts w:ascii="Verdana" w:hAnsi="Verdana"/>
          <w:color w:val="333333"/>
          <w:sz w:val="13"/>
          <w:szCs w:val="13"/>
        </w:rPr>
        <w:t xml:space="preserve"> , каждая из которых показывает максимальный объем выпуска продукции, достигаемый при использовании предельных сочетаний факторов производства, называют картой </w:t>
      </w:r>
      <w:proofErr w:type="spellStart"/>
      <w:r>
        <w:rPr>
          <w:rFonts w:ascii="Verdana" w:hAnsi="Verdana"/>
          <w:color w:val="333333"/>
          <w:sz w:val="13"/>
          <w:szCs w:val="13"/>
        </w:rPr>
        <w:t>изоквант</w:t>
      </w:r>
      <w:proofErr w:type="spellEnd"/>
      <w:r>
        <w:rPr>
          <w:rFonts w:ascii="Verdana" w:hAnsi="Verdana"/>
          <w:color w:val="333333"/>
          <w:sz w:val="13"/>
          <w:szCs w:val="13"/>
        </w:rPr>
        <w:t xml:space="preserve"> (рис. 11).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noProof/>
          <w:color w:val="333333"/>
          <w:sz w:val="13"/>
          <w:szCs w:val="13"/>
        </w:rPr>
        <w:drawing>
          <wp:inline distT="0" distB="0" distL="0" distR="0">
            <wp:extent cx="133350" cy="161925"/>
            <wp:effectExtent l="19050" t="0" r="0" b="0"/>
            <wp:docPr id="22" name="Рисунок 2" descr="http://www.market-journal.com/images/mikrojekonomika/image0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market-journal.com/images/mikrojekonomika/image06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333333"/>
          <w:sz w:val="13"/>
          <w:szCs w:val="13"/>
        </w:rPr>
        <w:t xml:space="preserve">ед. труда, </w:t>
      </w:r>
      <w:proofErr w:type="spellStart"/>
      <w:r>
        <w:rPr>
          <w:rFonts w:ascii="Verdana" w:hAnsi="Verdana"/>
          <w:color w:val="333333"/>
          <w:sz w:val="13"/>
          <w:szCs w:val="13"/>
        </w:rPr>
        <w:t>Къ</w:t>
      </w:r>
      <w:proofErr w:type="spellEnd"/>
      <w:r>
        <w:rPr>
          <w:rFonts w:ascii="Verdana" w:hAnsi="Verdana"/>
          <w:color w:val="333333"/>
          <w:sz w:val="13"/>
          <w:szCs w:val="13"/>
        </w:rPr>
        <w:t xml:space="preserve"> ед. капитала и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noProof/>
          <w:color w:val="333333"/>
          <w:sz w:val="13"/>
          <w:szCs w:val="13"/>
        </w:rPr>
        <w:drawing>
          <wp:inline distT="0" distB="0" distL="0" distR="0">
            <wp:extent cx="514985" cy="161925"/>
            <wp:effectExtent l="19050" t="0" r="0" b="0"/>
            <wp:docPr id="21" name="Рисунок 3" descr="http://www.market-journal.com/images/mikrojekonomika/image0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market-journal.com/images/mikrojekonomika/image07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8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color w:val="333333"/>
          <w:sz w:val="13"/>
          <w:szCs w:val="13"/>
        </w:rPr>
        <w:t xml:space="preserve">Наклон </w:t>
      </w:r>
      <w:proofErr w:type="spellStart"/>
      <w:r>
        <w:rPr>
          <w:rFonts w:ascii="Verdana" w:hAnsi="Verdana"/>
          <w:color w:val="333333"/>
          <w:sz w:val="13"/>
          <w:szCs w:val="13"/>
        </w:rPr>
        <w:t>изоквант</w:t>
      </w:r>
      <w:proofErr w:type="spellEnd"/>
      <w:r>
        <w:rPr>
          <w:rFonts w:ascii="Verdana" w:hAnsi="Verdana"/>
          <w:color w:val="333333"/>
          <w:sz w:val="13"/>
          <w:szCs w:val="13"/>
        </w:rPr>
        <w:t xml:space="preserve"> характеризует предельную норму технического замещения (MRTS) одного ресурса другим по аналогии с наклоном кривой безразличия и предельной нормой замещения одного блага другим (MRS).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color w:val="333333"/>
          <w:sz w:val="13"/>
          <w:szCs w:val="13"/>
        </w:rPr>
        <w:t>В зависимости от возможностей замены производственных ресурсов (</w:t>
      </w:r>
      <w:proofErr w:type="spellStart"/>
      <w:r>
        <w:rPr>
          <w:rFonts w:ascii="Verdana" w:hAnsi="Verdana"/>
          <w:color w:val="333333"/>
          <w:sz w:val="13"/>
          <w:szCs w:val="13"/>
        </w:rPr>
        <w:t>замещаемость</w:t>
      </w:r>
      <w:proofErr w:type="spellEnd"/>
      <w:r>
        <w:rPr>
          <w:rFonts w:ascii="Verdana" w:hAnsi="Verdana"/>
          <w:color w:val="333333"/>
          <w:sz w:val="13"/>
          <w:szCs w:val="13"/>
        </w:rPr>
        <w:t xml:space="preserve"> совершенная, жесткая, непрерывная и др.) </w:t>
      </w:r>
      <w:proofErr w:type="spellStart"/>
      <w:r>
        <w:rPr>
          <w:rFonts w:ascii="Verdana" w:hAnsi="Verdana"/>
          <w:color w:val="333333"/>
          <w:sz w:val="13"/>
          <w:szCs w:val="13"/>
        </w:rPr>
        <w:t>изокванты</w:t>
      </w:r>
      <w:proofErr w:type="spellEnd"/>
      <w:r>
        <w:rPr>
          <w:rFonts w:ascii="Verdana" w:hAnsi="Verdana"/>
          <w:color w:val="333333"/>
          <w:sz w:val="13"/>
          <w:szCs w:val="13"/>
        </w:rPr>
        <w:t xml:space="preserve"> (как и кривые безразличия) могут иметь различную конфигурацию. Представленная на рис. 11 карта </w:t>
      </w:r>
      <w:proofErr w:type="spellStart"/>
      <w:r>
        <w:rPr>
          <w:rFonts w:ascii="Verdana" w:hAnsi="Verdana"/>
          <w:color w:val="333333"/>
          <w:sz w:val="13"/>
          <w:szCs w:val="13"/>
        </w:rPr>
        <w:t>изоквант</w:t>
      </w:r>
      <w:proofErr w:type="spellEnd"/>
      <w:r>
        <w:rPr>
          <w:rFonts w:ascii="Verdana" w:hAnsi="Verdana"/>
          <w:color w:val="333333"/>
          <w:sz w:val="13"/>
          <w:szCs w:val="13"/>
        </w:rPr>
        <w:t xml:space="preserve"> предполагает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noProof/>
          <w:color w:val="333333"/>
          <w:sz w:val="13"/>
          <w:szCs w:val="13"/>
        </w:rPr>
        <w:lastRenderedPageBreak/>
        <w:drawing>
          <wp:inline distT="0" distB="0" distL="0" distR="0">
            <wp:extent cx="2899410" cy="2372995"/>
            <wp:effectExtent l="19050" t="0" r="0" b="0"/>
            <wp:docPr id="20" name="Рисунок 4" descr="http://www.market-journal.com/images/mikrojekonomika/image0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market-journal.com/images/mikrojekonomika/image07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9410" cy="2372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color w:val="333333"/>
          <w:sz w:val="13"/>
          <w:szCs w:val="13"/>
        </w:rPr>
        <w:t xml:space="preserve">совершенную </w:t>
      </w:r>
      <w:proofErr w:type="spellStart"/>
      <w:r>
        <w:rPr>
          <w:rFonts w:ascii="Verdana" w:hAnsi="Verdana"/>
          <w:color w:val="333333"/>
          <w:sz w:val="13"/>
          <w:szCs w:val="13"/>
        </w:rPr>
        <w:t>замещаемость</w:t>
      </w:r>
      <w:proofErr w:type="spellEnd"/>
      <w:r>
        <w:rPr>
          <w:rFonts w:ascii="Verdana" w:hAnsi="Verdana"/>
          <w:color w:val="333333"/>
          <w:sz w:val="13"/>
          <w:szCs w:val="13"/>
        </w:rPr>
        <w:t xml:space="preserve"> производственных ресурсов. В этом случае выпуск продукции возможен либо с помощью фактора труда (L), либо фактора капитала (К), либо комбинацией того или иного ресурса при постоянной норме их замещения.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color w:val="333333"/>
          <w:sz w:val="13"/>
          <w:szCs w:val="13"/>
        </w:rPr>
        <w:t xml:space="preserve">На практике наиболее реалистичной (характерной для большинства современных производств) считают ломаную </w:t>
      </w:r>
      <w:proofErr w:type="spellStart"/>
      <w:r>
        <w:rPr>
          <w:rFonts w:ascii="Verdana" w:hAnsi="Verdana"/>
          <w:color w:val="333333"/>
          <w:sz w:val="13"/>
          <w:szCs w:val="13"/>
        </w:rPr>
        <w:t>изокванту</w:t>
      </w:r>
      <w:proofErr w:type="spellEnd"/>
      <w:r>
        <w:rPr>
          <w:rFonts w:ascii="Verdana" w:hAnsi="Verdana"/>
          <w:color w:val="333333"/>
          <w:sz w:val="13"/>
          <w:szCs w:val="13"/>
        </w:rPr>
        <w:t>, предполагающую лишь несколько методов производства (Р) (рис. 12).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noProof/>
          <w:color w:val="333333"/>
          <w:sz w:val="13"/>
          <w:szCs w:val="13"/>
        </w:rPr>
        <w:drawing>
          <wp:inline distT="0" distB="0" distL="0" distR="0">
            <wp:extent cx="2112645" cy="1869440"/>
            <wp:effectExtent l="19050" t="0" r="1905" b="0"/>
            <wp:docPr id="19" name="Рисунок 5" descr="http://www.market-journal.com/images/mikrojekonomika/image0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market-journal.com/images/mikrojekonomika/image07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645" cy="1869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color w:val="333333"/>
          <w:sz w:val="13"/>
          <w:szCs w:val="13"/>
        </w:rPr>
        <w:t xml:space="preserve">Экономическая теория чаще всего оперирует </w:t>
      </w:r>
      <w:proofErr w:type="spellStart"/>
      <w:r>
        <w:rPr>
          <w:rFonts w:ascii="Verdana" w:hAnsi="Verdana"/>
          <w:color w:val="333333"/>
          <w:sz w:val="13"/>
          <w:szCs w:val="13"/>
        </w:rPr>
        <w:t>изоквантами</w:t>
      </w:r>
      <w:proofErr w:type="spellEnd"/>
      <w:r>
        <w:rPr>
          <w:rFonts w:ascii="Verdana" w:hAnsi="Verdana"/>
          <w:color w:val="333333"/>
          <w:sz w:val="13"/>
          <w:szCs w:val="13"/>
        </w:rPr>
        <w:t xml:space="preserve"> , предполагающими возможность непрерывной, но не совершенной </w:t>
      </w:r>
      <w:proofErr w:type="spellStart"/>
      <w:r>
        <w:rPr>
          <w:rFonts w:ascii="Verdana" w:hAnsi="Verdana"/>
          <w:color w:val="333333"/>
          <w:sz w:val="13"/>
          <w:szCs w:val="13"/>
        </w:rPr>
        <w:t>замещаемости</w:t>
      </w:r>
      <w:proofErr w:type="spellEnd"/>
      <w:r>
        <w:rPr>
          <w:rFonts w:ascii="Verdana" w:hAnsi="Verdana"/>
          <w:color w:val="333333"/>
          <w:sz w:val="13"/>
          <w:szCs w:val="13"/>
        </w:rPr>
        <w:t xml:space="preserve"> ресурсов в определенных границах, когда замещение одного фактора производства другим технически невозможно или неэффективно (рис. 13).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noProof/>
          <w:color w:val="333333"/>
          <w:sz w:val="13"/>
          <w:szCs w:val="13"/>
        </w:rPr>
        <w:drawing>
          <wp:inline distT="0" distB="0" distL="0" distR="0">
            <wp:extent cx="2048510" cy="1597025"/>
            <wp:effectExtent l="19050" t="0" r="8890" b="0"/>
            <wp:docPr id="9" name="Рисунок 6" descr="http://www.market-journal.com/images/mikrojekonomika/image0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market-journal.com/images/mikrojekonomika/image07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8510" cy="159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noProof/>
          <w:color w:val="333333"/>
          <w:sz w:val="13"/>
          <w:szCs w:val="13"/>
        </w:rPr>
        <w:drawing>
          <wp:inline distT="0" distB="0" distL="0" distR="0">
            <wp:extent cx="445770" cy="161925"/>
            <wp:effectExtent l="19050" t="0" r="0" b="0"/>
            <wp:docPr id="1" name="Рисунок 7" descr="http://www.market-journal.com/images/mikrojekonomika/image0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market-journal.com/images/mikrojekonomika/image08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>
        <w:rPr>
          <w:rFonts w:ascii="Verdana" w:hAnsi="Verdana"/>
          <w:color w:val="333333"/>
          <w:sz w:val="13"/>
          <w:szCs w:val="13"/>
        </w:rPr>
        <w:t>Капиталоинтенсивный</w:t>
      </w:r>
      <w:proofErr w:type="spellEnd"/>
      <w:r>
        <w:rPr>
          <w:rFonts w:ascii="Verdana" w:hAnsi="Verdana"/>
          <w:color w:val="333333"/>
          <w:sz w:val="13"/>
          <w:szCs w:val="13"/>
        </w:rPr>
        <w:t xml:space="preserve"> , или </w:t>
      </w:r>
      <w:proofErr w:type="spellStart"/>
      <w:r>
        <w:rPr>
          <w:rFonts w:ascii="Verdana" w:hAnsi="Verdana"/>
          <w:color w:val="333333"/>
          <w:sz w:val="13"/>
          <w:szCs w:val="13"/>
        </w:rPr>
        <w:t>трудосберегающий</w:t>
      </w:r>
      <w:proofErr w:type="spellEnd"/>
      <w:r>
        <w:rPr>
          <w:rFonts w:ascii="Verdana" w:hAnsi="Verdana"/>
          <w:color w:val="333333"/>
          <w:sz w:val="13"/>
          <w:szCs w:val="13"/>
        </w:rPr>
        <w:t xml:space="preserve"> , способ означает, что под влиянием технического прогресса при данном способе используется большее количество капитала, чем труда. </w:t>
      </w:r>
      <w:proofErr w:type="spellStart"/>
      <w:r>
        <w:rPr>
          <w:rFonts w:ascii="Verdana" w:hAnsi="Verdana"/>
          <w:color w:val="333333"/>
          <w:sz w:val="13"/>
          <w:szCs w:val="13"/>
        </w:rPr>
        <w:t>Трудоинтен-сивный</w:t>
      </w:r>
      <w:proofErr w:type="spellEnd"/>
      <w:r>
        <w:rPr>
          <w:rFonts w:ascii="Verdana" w:hAnsi="Verdana"/>
          <w:color w:val="333333"/>
          <w:sz w:val="13"/>
          <w:szCs w:val="13"/>
        </w:rPr>
        <w:t xml:space="preserve"> , или капиталосберегающий, способ, наоборот, использует большее количество труда, чем капитала. Пропорциональное применение ресурсов капитала и труда (К и L) характеризует нейтральный способ производства.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color w:val="333333"/>
          <w:sz w:val="13"/>
          <w:szCs w:val="13"/>
        </w:rPr>
        <w:t>Теория производства рассматривает также процесс производства с учетом фактора времени, в котором реализуется производственная функция. Это объективное требование исследования, так как принятие конкретных производственных решений в связи с изменением выпуска продукции, количества и качества вводимых ресурсов, сменой технологий имеет различные временные рамки. Все производственные решения условно можно объединить в три группы: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color w:val="333333"/>
          <w:sz w:val="13"/>
          <w:szCs w:val="13"/>
        </w:rPr>
        <w:t>Как наилучшим способом организовать производство с учетом имеющихся производственных мощностей.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color w:val="333333"/>
          <w:sz w:val="13"/>
          <w:szCs w:val="13"/>
        </w:rPr>
        <w:lastRenderedPageBreak/>
        <w:t>Какие новые производственные мощности и технологические процессы следует выбрать исходя из достигнутого уровня развития науки и техники.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color w:val="333333"/>
          <w:sz w:val="13"/>
          <w:szCs w:val="13"/>
        </w:rPr>
        <w:t>3. Как эффективнее использовать в производстве последние достижения технического прогресса.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color w:val="333333"/>
          <w:sz w:val="13"/>
          <w:szCs w:val="13"/>
        </w:rPr>
        <w:t>Периоды, в течение которых решаются вопросы первой, второй и третьей групп, называют соответственно краткосрочными, долгосрочными и очень долгосрочными, относящимися к области прогнозирования. Такое временное разделение, введенное А. Маршаллом, является абстракцией, хотя она и позволяет углубить исследования теории производства и общих закономерностей его расширения.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color w:val="333333"/>
          <w:sz w:val="13"/>
          <w:szCs w:val="13"/>
        </w:rPr>
        <w:t>Рассмотрим мгновенный, краткосрочный (короткий), долгосрочный (длительный) периоды деятельности фирмы с точки зрения расширения объема производства.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color w:val="333333"/>
          <w:sz w:val="13"/>
          <w:szCs w:val="13"/>
        </w:rPr>
        <w:t>В мгновенном периоде объемы применения каждого ресурса остаются неизменными, поэтому в его рамках расширение производства невозможно.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color w:val="333333"/>
          <w:sz w:val="13"/>
          <w:szCs w:val="13"/>
        </w:rPr>
        <w:t>В краткосрочном периоде производство организуется с учетом имеющихся производственных мощностей, т. е. промышленных зданий, станков, оборудования и др. В этом случае расширение производства возможно лишь при использовании других ресурсов: труда, сырья, материалов, т. е. переменных. В краткосрочном периоде изменяются пропорции применяемых производственных ресурсов. Расширение масштабов производства в данном периоде исследуется с помощью понятия убывающей отдачи (убывающей производительности) переменного ресурса, или закона изменяющихся пропорций.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color w:val="333333"/>
          <w:sz w:val="13"/>
          <w:szCs w:val="13"/>
        </w:rPr>
        <w:t>Закон убывающей отдачи гласит, что по мере роста использования какого-либо переменного производственного ресурса, но при фиксированных остальных, наступает момент, когда дополнительное использование этого (переменного) ресурса ведет к снижению объема выпуска продукции.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color w:val="333333"/>
          <w:sz w:val="13"/>
          <w:szCs w:val="13"/>
        </w:rPr>
        <w:t>Анализ деятельности фирмы в краткосрочном периоде требует введения дополнительных понятий: общий продукт, средний продукт, предельный продукт.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color w:val="333333"/>
          <w:sz w:val="13"/>
          <w:szCs w:val="13"/>
        </w:rPr>
        <w:t>Общий (суммарный) продукт (ТР) — общее количество продукции, произведенное за определенное количество времени. Если величина всех вводимых факторов производства, кроме одного, остается неизменной, то ТР будет расти или уменьшаться с увеличением или уменьшением количества применяемого переменного ресурса.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color w:val="333333"/>
          <w:sz w:val="13"/>
          <w:szCs w:val="13"/>
        </w:rPr>
        <w:t>Средний продукт (АР) — количество продукции в расчете на единицу переменного ресурса.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color w:val="333333"/>
          <w:sz w:val="13"/>
          <w:szCs w:val="13"/>
        </w:rPr>
        <w:t>Предельный продукт (MP) — изменение суммарного продукта за счет ввода в производство одной дополнительной единицы любого переменного ресурса.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color w:val="333333"/>
          <w:sz w:val="13"/>
          <w:szCs w:val="13"/>
        </w:rPr>
        <w:t>В долгосрочном периоде возможно изменение всех вводимых в производство ресурсов, как переменных, так и постоянных, но базовые технологии не изменяются. Применение всех видов ресурсов увеличивает масштабы производства, поэтому для анализа деятельности фирмы в долгосрочном периоде используют понятие отдачи от масштаба. При технически эффективном способе производства увеличение выпуска продукции обеспечивается за счет пропорционального увеличения использования всех производственных ресурсов. Это и есть изменение масштаба производства. Эффект роста масштабов производства может быть положительным (возрастающим), неизменным (постоянным) или отрицательным (убывающим), что характеризует масштаб деятельности фирмы.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color w:val="333333"/>
          <w:sz w:val="13"/>
          <w:szCs w:val="13"/>
        </w:rPr>
        <w:t>Неизменный эффект масштаба производства означает, что удвоение использования всех факторов ведет к удвоению выпуска продукции. Это свидетельствует о том, что изменение масштаба деятельности фирмы не влияет на продуктивность используемых факторов производства.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color w:val="333333"/>
          <w:sz w:val="13"/>
          <w:szCs w:val="13"/>
        </w:rPr>
        <w:t>Положительный эффект масштаба означает, что выпуск продукции увеличивается более чем в 2 раза. В этом случае выгоднее иметь крупное предприятие, производящее (при относительно низких издержках) продукции больше, чем мелкие фирмы с высоким уровнем издержек.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color w:val="333333"/>
          <w:sz w:val="13"/>
          <w:szCs w:val="13"/>
        </w:rPr>
        <w:t>Убывающий эффект масштаба означает, что выпуск продукции не увеличивается более чем в 2 раза. Как правило, данный эффект обусловлен ограниченными возможностями управления крупным производством, нарушением координации потоков ресурсы—выпуск .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color w:val="333333"/>
          <w:sz w:val="13"/>
          <w:szCs w:val="13"/>
        </w:rPr>
        <w:t>Во многих случаях характер отдачи от масштаба производства изменяется при достижении определенного уровня выпуска продукции, т. е. вначале действует постоянный или возрастающий эффект роста масштаба, а затем ему на смену приходит убывающий.</w:t>
      </w:r>
    </w:p>
    <w:p w:rsidR="0047165A" w:rsidRDefault="0047165A" w:rsidP="0047165A">
      <w:pPr>
        <w:pStyle w:val="a7"/>
        <w:shd w:val="clear" w:color="auto" w:fill="FFFFFF"/>
        <w:rPr>
          <w:rFonts w:ascii="Verdana" w:hAnsi="Verdana"/>
          <w:color w:val="333333"/>
          <w:sz w:val="13"/>
          <w:szCs w:val="13"/>
        </w:rPr>
      </w:pPr>
      <w:r>
        <w:rPr>
          <w:rFonts w:ascii="Verdana" w:hAnsi="Verdana"/>
          <w:color w:val="333333"/>
          <w:sz w:val="13"/>
          <w:szCs w:val="13"/>
        </w:rPr>
        <w:t>При прочих равных условиях чем больше эффект масштаба, тем более крупные фирмы функционируют в той или иной отрасли промышленности. Как правило, промышленные отрасли имеют больший эффект масштаба, чем отрасли сферы услуг, поскольку крупным фирмам требуются существенные капиталовложения в оборудование, чтобы они могли работать наиболее эффективно.</w:t>
      </w:r>
    </w:p>
    <w:p w:rsidR="00ED6529" w:rsidRPr="0047165A" w:rsidRDefault="00ED6529" w:rsidP="0047165A"/>
    <w:sectPr w:rsidR="00ED6529" w:rsidRPr="0047165A" w:rsidSect="00C71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596932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26FE1C79"/>
    <w:multiLevelType w:val="singleLevel"/>
    <w:tmpl w:val="E962DFF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36C56710"/>
    <w:multiLevelType w:val="singleLevel"/>
    <w:tmpl w:val="E962DFF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53674FD4"/>
    <w:multiLevelType w:val="multilevel"/>
    <w:tmpl w:val="81343E28"/>
    <w:lvl w:ilvl="0">
      <w:start w:val="5"/>
      <w:numFmt w:val="decimal"/>
      <w:lvlText w:val="%1."/>
      <w:lvlJc w:val="left"/>
      <w:pPr>
        <w:tabs>
          <w:tab w:val="num" w:pos="465"/>
        </w:tabs>
        <w:ind w:left="465" w:hanging="465"/>
      </w:p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</w:lvl>
  </w:abstractNum>
  <w:abstractNum w:abstractNumId="4">
    <w:nsid w:val="7170338F"/>
    <w:multiLevelType w:val="singleLevel"/>
    <w:tmpl w:val="7D443344"/>
    <w:lvl w:ilvl="0">
      <w:start w:val="3"/>
      <w:numFmt w:val="bullet"/>
      <w:lvlText w:val="-"/>
      <w:lvlJc w:val="left"/>
      <w:pPr>
        <w:tabs>
          <w:tab w:val="num" w:pos="1080"/>
        </w:tabs>
        <w:ind w:left="1080" w:hanging="360"/>
      </w:pPr>
    </w:lvl>
  </w:abstractNum>
  <w:abstractNum w:abstractNumId="5">
    <w:nsid w:val="7EC3405F"/>
    <w:multiLevelType w:val="singleLevel"/>
    <w:tmpl w:val="E962DFF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3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0"/>
  </w:num>
  <w:num w:numId="4">
    <w:abstractNumId w:val="1"/>
    <w:lvlOverride w:ilvl="0">
      <w:startOverride w:val="1"/>
    </w:lvlOverride>
  </w:num>
  <w:num w:numId="5">
    <w:abstractNumId w:val="5"/>
    <w:lvlOverride w:ilvl="0">
      <w:startOverride w:val="1"/>
    </w:lvlOverride>
  </w:num>
  <w:num w:numId="6">
    <w:abstractNumId w:val="2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5"/>
  <w:proofState w:spelling="clean"/>
  <w:defaultTabStop w:val="708"/>
  <w:characterSpacingControl w:val="doNotCompress"/>
  <w:compat>
    <w:useFELayout/>
  </w:compat>
  <w:rsids>
    <w:rsidRoot w:val="005C46C3"/>
    <w:rsid w:val="0047165A"/>
    <w:rsid w:val="005C46C3"/>
    <w:rsid w:val="006D0B58"/>
    <w:rsid w:val="00A54F8D"/>
    <w:rsid w:val="00ED65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529"/>
  </w:style>
  <w:style w:type="paragraph" w:styleId="1">
    <w:name w:val="heading 1"/>
    <w:basedOn w:val="a"/>
    <w:next w:val="a"/>
    <w:link w:val="10"/>
    <w:uiPriority w:val="9"/>
    <w:qFormat/>
    <w:rsid w:val="005C46C3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C46C3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customStyle="1" w:styleId="a3">
    <w:name w:val="Обычный мой"/>
    <w:basedOn w:val="a"/>
    <w:link w:val="a4"/>
    <w:qFormat/>
    <w:rsid w:val="005C46C3"/>
    <w:pPr>
      <w:spacing w:after="0" w:line="240" w:lineRule="auto"/>
      <w:ind w:firstLine="709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4">
    <w:name w:val="Обычный мой Знак"/>
    <w:link w:val="a3"/>
    <w:rsid w:val="005C46C3"/>
    <w:rPr>
      <w:rFonts w:ascii="Times New Roman" w:eastAsia="Calibri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5C46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46C3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47165A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782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148261">
          <w:marLeft w:val="0"/>
          <w:marRight w:val="0"/>
          <w:marTop w:val="12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974592">
              <w:marLeft w:val="0"/>
              <w:marRight w:val="0"/>
              <w:marTop w:val="0"/>
              <w:marBottom w:val="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218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270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1314</Words>
  <Characters>7491</Characters>
  <Application>Microsoft Office Word</Application>
  <DocSecurity>0</DocSecurity>
  <Lines>62</Lines>
  <Paragraphs>17</Paragraphs>
  <ScaleCrop>false</ScaleCrop>
  <Company>MultiDVD Team</Company>
  <LinksUpToDate>false</LinksUpToDate>
  <CharactersWithSpaces>8788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s-64</cp:lastModifiedBy>
  <cp:revision>4</cp:revision>
  <dcterms:created xsi:type="dcterms:W3CDTF">2017-11-20T14:03:00Z</dcterms:created>
  <dcterms:modified xsi:type="dcterms:W3CDTF">2017-11-26T15:33:00Z</dcterms:modified>
</cp:coreProperties>
</file>